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4E5874" w:rsidRDefault="00E4401C">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AE5BF1" w:rsidP="008428A7">
            <w:pPr>
              <w:rPr>
                <w:sz w:val="26"/>
                <w:szCs w:val="26"/>
                <w:rtl/>
              </w:rPr>
            </w:pPr>
            <w:sdt>
              <w:sdtPr>
                <w:rPr>
                  <w:sz w:val="26"/>
                  <w:szCs w:val="26"/>
                  <w:rtl/>
                </w:rPr>
                <w:alias w:val="1478"/>
                <w:tag w:val="1478"/>
                <w:id w:val="-2076122985"/>
                <w:text w:multiLine="1"/>
              </w:sdtPr>
              <w:sdtEndPr/>
              <w:sdtContent>
                <w:r w:rsidR="008428A7">
                  <w:rPr>
                    <w:rFonts w:ascii="Arial" w:hAnsi="Arial" w:hint="cs"/>
                    <w:b/>
                    <w:bCs/>
                    <w:noProof w:val="0"/>
                    <w:sz w:val="26"/>
                    <w:szCs w:val="26"/>
                    <w:rtl/>
                  </w:rPr>
                  <w:t>פלונית</w:t>
                </w:r>
              </w:sdtContent>
            </w:sdt>
          </w:p>
          <w:p w:rsidR="0094424E" w:rsidRPr="002E5258" w:rsidRDefault="00E4401C">
            <w:pPr>
              <w:rPr>
                <w:b/>
                <w:bCs/>
                <w:noProof w:val="0"/>
                <w:sz w:val="26"/>
                <w:szCs w:val="26"/>
              </w:rPr>
            </w:pPr>
            <w:r>
              <w:rPr>
                <w:rFonts w:hint="cs"/>
                <w:sz w:val="26"/>
                <w:szCs w:val="26"/>
                <w:rtl/>
              </w:rPr>
              <w:t>ע"י ב"כ עו"ד דין עדני</w:t>
            </w:r>
          </w:p>
        </w:tc>
      </w:tr>
      <w:tr w:rsidR="0094424E" w:rsidRPr="002E5258">
        <w:trPr>
          <w:jc w:val="center"/>
        </w:trPr>
        <w:tc>
          <w:tcPr>
            <w:tcW w:w="8820" w:type="dxa"/>
            <w:gridSpan w:val="3"/>
          </w:tcPr>
          <w:p w:rsidR="0094424E" w:rsidRPr="00E4401C"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AE5BF1">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94424E" w:rsidRPr="00E4401C" w:rsidRDefault="00AE5BF1" w:rsidP="008428A7">
            <w:pPr>
              <w:rPr>
                <w:sz w:val="26"/>
                <w:szCs w:val="26"/>
                <w:rtl/>
              </w:rPr>
            </w:pPr>
            <w:sdt>
              <w:sdtPr>
                <w:rPr>
                  <w:sz w:val="26"/>
                  <w:szCs w:val="26"/>
                  <w:rtl/>
                </w:rPr>
                <w:alias w:val="1486"/>
                <w:tag w:val="1486"/>
                <w:id w:val="-309872140"/>
                <w:text w:multiLine="1"/>
              </w:sdtPr>
              <w:sdtEndPr/>
              <w:sdtContent>
                <w:r w:rsidR="008428A7">
                  <w:rPr>
                    <w:rFonts w:ascii="Arial" w:hAnsi="Arial" w:hint="cs"/>
                    <w:b/>
                    <w:bCs/>
                    <w:noProof w:val="0"/>
                    <w:sz w:val="26"/>
                    <w:szCs w:val="26"/>
                    <w:rtl/>
                  </w:rPr>
                  <w:t>פלוני</w:t>
                </w:r>
              </w:sdtContent>
            </w:sdt>
          </w:p>
        </w:tc>
      </w:tr>
    </w:tbl>
    <w:p w:rsidR="0094424E" w:rsidRDefault="0094424E" w:rsidP="0094424E">
      <w:pPr>
        <w:rPr>
          <w:rtl/>
        </w:rPr>
      </w:pPr>
    </w:p>
    <w:p w:rsidR="0094424E" w:rsidRDefault="0094424E">
      <w:pPr>
        <w:rPr>
          <w:rtl/>
        </w:rPr>
      </w:pPr>
    </w:p>
    <w:p w:rsidR="0094424E" w:rsidRDefault="0094424E"/>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E4401C" w:rsidRDefault="00E4401C" w:rsidP="00E4401C">
      <w:pPr>
        <w:spacing w:line="360" w:lineRule="auto"/>
        <w:jc w:val="both"/>
        <w:rPr>
          <w:rFonts w:ascii="David" w:hAnsi="David"/>
          <w:rtl/>
        </w:rPr>
      </w:pPr>
      <w:r>
        <w:rPr>
          <w:rFonts w:ascii="David" w:hAnsi="David"/>
          <w:rtl/>
        </w:rPr>
        <w:t xml:space="preserve">בקשת רשות ערעור על החלטת ביהמ"ש לענייני משפחה במחוז </w:t>
      </w:r>
      <w:r w:rsidR="008428A7">
        <w:rPr>
          <w:rFonts w:ascii="David" w:hAnsi="David"/>
          <w:rtl/>
        </w:rPr>
        <w:t>תל-אביב (כב'' השופטת קרן</w:t>
      </w:r>
      <w:r w:rsidR="008428A7">
        <w:rPr>
          <w:rFonts w:ascii="David" w:hAnsi="David" w:hint="cs"/>
          <w:rtl/>
        </w:rPr>
        <w:t xml:space="preserve"> </w:t>
      </w:r>
      <w:r>
        <w:rPr>
          <w:rFonts w:ascii="David" w:hAnsi="David"/>
          <w:rtl/>
        </w:rPr>
        <w:t>גיל, בתלה"מ 47048-05-24)</w:t>
      </w:r>
      <w:r w:rsidR="001A5152">
        <w:rPr>
          <w:rFonts w:ascii="David" w:hAnsi="David" w:hint="cs"/>
          <w:rtl/>
        </w:rPr>
        <w:t>,</w:t>
      </w:r>
      <w:r>
        <w:rPr>
          <w:rFonts w:ascii="David" w:hAnsi="David"/>
          <w:rtl/>
        </w:rPr>
        <w:t xml:space="preserve"> מיום 28.5.24.</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b/>
          <w:bCs/>
          <w:u w:val="single"/>
          <w:rtl/>
        </w:rPr>
      </w:pPr>
      <w:r>
        <w:rPr>
          <w:rFonts w:ascii="David" w:hAnsi="David"/>
          <w:b/>
          <w:bCs/>
          <w:u w:val="single"/>
          <w:rtl/>
        </w:rPr>
        <w:t>העובדות הצריכות לעניין</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הצדדים הם בני זוג נשואים והורים לשלושה ילדים קטינים.</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 xml:space="preserve">ביום 22.6.23 חתמו הצדדים על הסכם שלום בית ולחילופין גירושין שהסדיר את ענייני הרכוש ביניהם, החזקת הקטינים, הסדרי השהות עמם ומזונותיהם (להלן: </w:t>
      </w:r>
      <w:r>
        <w:rPr>
          <w:rFonts w:ascii="David" w:hAnsi="David"/>
          <w:b/>
          <w:bCs/>
          <w:rtl/>
        </w:rPr>
        <w:t>הסכם הגירושין</w:t>
      </w:r>
      <w:r>
        <w:rPr>
          <w:rFonts w:ascii="David" w:hAnsi="David"/>
          <w:rtl/>
        </w:rPr>
        <w:t>).</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בדיון שהתקיים ביום 29.6.23 (בתה"ס 56858-06-23) במעמד הצדדים ועו"ד שהציגה עצמה כמייצגת את שניהם בייצוג משותף, הסכם הגירושין אושר ע"י ביהמ"ש קמא וקיבל תוקף של פסק-דין לפי חוק יחסי ממון בין בני זוג, התשל"ג-1973, חוק הכשרות המשפטית והאפוטרופסות, התשכ"ב-1962, החוק לתיקון דיני המשפחה (מזונות), התשי"ט-1959 וסעיף 3(ג) לחוק בית המשפט לענייני משפחה, התשנ"ה-1995.</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ביום 20.5.24 הגישה המבקשת לביהמ"ש קמא תביעה שהוכתרה כתביעה ל"</w:t>
      </w:r>
      <w:r>
        <w:rPr>
          <w:rFonts w:ascii="David" w:hAnsi="David"/>
          <w:b/>
          <w:bCs/>
          <w:rtl/>
        </w:rPr>
        <w:t>ביטול הסכם/רכושית/ איזון זכויות</w:t>
      </w:r>
      <w:r>
        <w:rPr>
          <w:rFonts w:ascii="David" w:hAnsi="David"/>
          <w:rtl/>
        </w:rPr>
        <w:t>".</w:t>
      </w:r>
    </w:p>
    <w:p w:rsidR="00E4401C" w:rsidRPr="001A5152" w:rsidRDefault="00E4401C" w:rsidP="001A5152">
      <w:pPr>
        <w:spacing w:line="360" w:lineRule="auto"/>
        <w:jc w:val="both"/>
        <w:rPr>
          <w:rFonts w:ascii="David" w:hAnsi="David"/>
          <w:rtl/>
        </w:rPr>
      </w:pPr>
      <w:r>
        <w:rPr>
          <w:rFonts w:ascii="David" w:hAnsi="David"/>
          <w:rtl/>
        </w:rPr>
        <w:lastRenderedPageBreak/>
        <w:t>במסגרת תביעתה עתרה המבקש לביטול הסכם הגירושין וכל המסמכים שנחתמו בעקבותיו. המבקשת טענה כי ההסכם נערך ונחתם כשאינה מיוצגת (בעוד שבעלה המשיב היה מיוצג) והיא אולצה לחתום עליו בעקבות איומים ואלימות מצד המשיב. המבקשת עתרה בס' 25 לכתב תביעתה לביטול ההסכם מחמת חוסר תום לב בשלב המו"מ לעריכתו כמו גם בקיומו; מהיותו חוזה פסול ובלתי מוסרי; וכן לאור פגמים ברצון שנפלו בכריתתו משנחתם כתוצאה מטעות, הטעיה, עושק וכפיה.</w:t>
      </w:r>
      <w:r w:rsidR="001A5152">
        <w:rPr>
          <w:rFonts w:ascii="David" w:hAnsi="David" w:hint="cs"/>
          <w:rtl/>
        </w:rPr>
        <w:t xml:space="preserve"> </w:t>
      </w:r>
      <w:r>
        <w:rPr>
          <w:rFonts w:ascii="David" w:hAnsi="David"/>
          <w:rtl/>
        </w:rPr>
        <w:t>בס' 26 לכתב התביעה עתרה המבקשת כי "</w:t>
      </w:r>
      <w:r>
        <w:rPr>
          <w:rFonts w:ascii="David" w:hAnsi="David"/>
          <w:b/>
          <w:bCs/>
          <w:rtl/>
        </w:rPr>
        <w:t>עם ביטול תוקפם של המסמכים שאושרו, יתבקש כבוד בית המשפט לאזן על-פי חוק יחסי ממון בין בני זוג את הרכוש שנצבר במהלך כל שנות החיים המשותפים – למצער בחלקים שווים".</w:t>
      </w:r>
      <w:r w:rsidR="001A5152">
        <w:rPr>
          <w:rFonts w:ascii="David" w:hAnsi="David" w:hint="cs"/>
          <w:rtl/>
        </w:rPr>
        <w:t xml:space="preserve"> </w:t>
      </w:r>
      <w:r>
        <w:rPr>
          <w:rFonts w:ascii="David" w:hAnsi="David"/>
          <w:rtl/>
        </w:rPr>
        <w:t>המבקשת שילמה אגרה בגין התביעה בסך של 561 ₪ לפי פרט 2א לתקנות בית המשפט לענייני משפחה (אגרות), התשנ״ו– 1995 שעניינו ב"</w:t>
      </w:r>
      <w:r>
        <w:rPr>
          <w:rFonts w:ascii="David" w:hAnsi="David"/>
          <w:b/>
          <w:bCs/>
          <w:color w:val="202122"/>
          <w:shd w:val="clear" w:color="auto" w:fill="FFFFFF"/>
          <w:rtl/>
        </w:rPr>
        <w:t>כל תביעה בענייני רכוש בין בני זוג לסכום שאינו קצוב שנובעת מהקשר בין בני הזוג, לרבות תביעה לאיזון משאבים, לפירוק שיתוף, לפסק דין הצהרתי בענייני רכוש ולמתן חשבונות, יהיו מספר הסעדים ומספר פריטי הרכוש אשר יהיו</w:t>
      </w:r>
      <w:r>
        <w:rPr>
          <w:color w:val="202122"/>
          <w:shd w:val="clear" w:color="auto" w:fill="FFFFFF"/>
          <w:rtl/>
        </w:rPr>
        <w:t>".</w:t>
      </w:r>
    </w:p>
    <w:p w:rsidR="00E4401C" w:rsidRDefault="00E4401C" w:rsidP="00E4401C">
      <w:pPr>
        <w:spacing w:line="360" w:lineRule="auto"/>
        <w:jc w:val="both"/>
        <w:rPr>
          <w:rFonts w:ascii="David" w:hAnsi="David"/>
          <w:color w:val="202122"/>
          <w:shd w:val="clear" w:color="auto" w:fill="FFFFFF"/>
          <w:rtl/>
        </w:rPr>
      </w:pPr>
    </w:p>
    <w:p w:rsidR="00E4401C" w:rsidRDefault="00E4401C" w:rsidP="00E4401C">
      <w:pPr>
        <w:spacing w:line="360" w:lineRule="auto"/>
        <w:jc w:val="both"/>
        <w:rPr>
          <w:rFonts w:ascii="David" w:hAnsi="David"/>
          <w:b/>
          <w:bCs/>
          <w:color w:val="202122"/>
          <w:shd w:val="clear" w:color="auto" w:fill="FFFFFF"/>
          <w:rtl/>
        </w:rPr>
      </w:pPr>
      <w:r>
        <w:rPr>
          <w:rFonts w:ascii="David" w:hAnsi="David"/>
          <w:color w:val="202122"/>
          <w:shd w:val="clear" w:color="auto" w:fill="FFFFFF"/>
          <w:rtl/>
        </w:rPr>
        <w:t>ביום 28.5.24 נתן ביהמ"ש קמא, מיוזמתו, החלטה לפיה "</w:t>
      </w:r>
      <w:r>
        <w:rPr>
          <w:rFonts w:ascii="David" w:hAnsi="David"/>
          <w:b/>
          <w:bCs/>
          <w:color w:val="202122"/>
          <w:shd w:val="clear" w:color="auto" w:fill="FFFFFF"/>
          <w:rtl/>
        </w:rPr>
        <w:t>לא ניתן לכרוך סעד של ביטול הסכם הממון שאושר יחד עם סעד של איזון זכויות. ביחס לסעד הצהרתי על אודות ביטול הסכם הממון שאושר ביום 29.6.23 – אגרת התביעה שולמה בחסר. המזכירות תעדכן חיוב אגרה בהתאם לפרט 2 לתוספת הראשונה לתקנות בית המשפט לעניני משפחה (אגרות), תשנ"ו – 1995, והתובעת תשלם את הפרש האגרה בתוך 7 ימים. "</w:t>
      </w:r>
    </w:p>
    <w:p w:rsidR="00E4401C" w:rsidRDefault="00E4401C" w:rsidP="00E4401C">
      <w:pPr>
        <w:spacing w:line="360" w:lineRule="auto"/>
        <w:jc w:val="both"/>
        <w:rPr>
          <w:rFonts w:ascii="David" w:hAnsi="David"/>
          <w:color w:val="202122"/>
          <w:shd w:val="clear" w:color="auto" w:fill="FFFFFF"/>
          <w:rtl/>
        </w:rPr>
      </w:pPr>
    </w:p>
    <w:p w:rsidR="00E4401C" w:rsidRDefault="00E4401C" w:rsidP="00E4401C">
      <w:pPr>
        <w:spacing w:line="360" w:lineRule="auto"/>
        <w:jc w:val="both"/>
        <w:rPr>
          <w:rFonts w:ascii="David" w:hAnsi="David"/>
          <w:color w:val="202122"/>
          <w:shd w:val="clear" w:color="auto" w:fill="FFFFFF"/>
          <w:rtl/>
        </w:rPr>
      </w:pPr>
      <w:r>
        <w:rPr>
          <w:rFonts w:ascii="David" w:hAnsi="David"/>
          <w:color w:val="202122"/>
          <w:shd w:val="clear" w:color="auto" w:fill="FFFFFF"/>
          <w:rtl/>
        </w:rPr>
        <w:t>המבקשת פנתה לביהמ"ש קמא בבקשה לביטול ההחלטה אך זו נדחתה ע"י ביהמ"ש קמא ביום 30.5.23 כשביהמ"ש קמא קבע כי החלטתו מיום 28.5.24 מנומקת ואין בנטען בבקשת המבקשת כדי לשנותה.</w:t>
      </w:r>
    </w:p>
    <w:p w:rsidR="00E4401C" w:rsidRDefault="00E4401C" w:rsidP="00E4401C">
      <w:pPr>
        <w:spacing w:line="360" w:lineRule="auto"/>
        <w:jc w:val="both"/>
        <w:rPr>
          <w:rFonts w:ascii="David" w:hAnsi="David"/>
          <w:color w:val="202122"/>
          <w:shd w:val="clear" w:color="auto" w:fill="FFFFFF"/>
          <w:rtl/>
        </w:rPr>
      </w:pPr>
    </w:p>
    <w:p w:rsidR="00E4401C" w:rsidRDefault="00E4401C" w:rsidP="00E4401C">
      <w:pPr>
        <w:spacing w:line="360" w:lineRule="auto"/>
        <w:jc w:val="both"/>
        <w:rPr>
          <w:rFonts w:ascii="David" w:hAnsi="David"/>
          <w:color w:val="202122"/>
          <w:shd w:val="clear" w:color="auto" w:fill="FFFFFF"/>
          <w:rtl/>
        </w:rPr>
      </w:pPr>
      <w:r>
        <w:rPr>
          <w:rFonts w:ascii="David" w:hAnsi="David"/>
          <w:color w:val="202122"/>
          <w:shd w:val="clear" w:color="auto" w:fill="FFFFFF"/>
          <w:rtl/>
        </w:rPr>
        <w:t>בבקשת רשות הערעור שלפניי חוזרת המבקשת על שטענה לפני ביהמ"ש קמא בבקשה לביטול ההחלטה מיום 28.5.24.</w:t>
      </w:r>
    </w:p>
    <w:p w:rsidR="001A5152" w:rsidRDefault="001A5152" w:rsidP="00E4401C">
      <w:pPr>
        <w:spacing w:line="360" w:lineRule="auto"/>
        <w:jc w:val="both"/>
        <w:rPr>
          <w:rFonts w:ascii="David" w:hAnsi="David"/>
          <w:color w:val="202122"/>
          <w:shd w:val="clear" w:color="auto" w:fill="FFFFFF"/>
          <w:rtl/>
        </w:rPr>
      </w:pPr>
    </w:p>
    <w:p w:rsidR="00E4401C" w:rsidRDefault="00E4401C" w:rsidP="00E4401C">
      <w:pPr>
        <w:spacing w:line="360" w:lineRule="auto"/>
        <w:jc w:val="both"/>
        <w:rPr>
          <w:rFonts w:ascii="David" w:hAnsi="David"/>
          <w:color w:val="202122"/>
          <w:shd w:val="clear" w:color="auto" w:fill="FFFFFF"/>
          <w:rtl/>
        </w:rPr>
      </w:pPr>
      <w:r>
        <w:rPr>
          <w:rFonts w:ascii="David" w:hAnsi="David"/>
          <w:color w:val="202122"/>
          <w:shd w:val="clear" w:color="auto" w:fill="FFFFFF"/>
          <w:rtl/>
        </w:rPr>
        <w:t>בכל הנוגע לקביעת ביהמ"ש קמא לפיה לא ניתן לכרוך סעד של ביטול הסכם ביחד עם סעד של איזון זכויות, טוענת המבקשת בהגינותה כי מדובר בטיעון "</w:t>
      </w:r>
      <w:r>
        <w:rPr>
          <w:rFonts w:ascii="David" w:hAnsi="David"/>
          <w:b/>
          <w:bCs/>
          <w:color w:val="202122"/>
          <w:shd w:val="clear" w:color="auto" w:fill="FFFFFF"/>
          <w:rtl/>
        </w:rPr>
        <w:t>הגיוני נכון ומובן</w:t>
      </w:r>
      <w:r>
        <w:rPr>
          <w:rFonts w:ascii="David" w:hAnsi="David"/>
          <w:color w:val="202122"/>
          <w:shd w:val="clear" w:color="auto" w:fill="FFFFFF"/>
          <w:rtl/>
        </w:rPr>
        <w:t>" אך לגישתה הוא סותר את הוראת תקנה 15(א)(1) לתקנות בית המשפט לענייני משפחה (סדרי דין), תשפ"א-2020</w:t>
      </w:r>
      <w:r>
        <w:rPr>
          <w:rtl/>
        </w:rPr>
        <w:t xml:space="preserve"> שקובעת:</w:t>
      </w:r>
    </w:p>
    <w:p w:rsidR="00E4401C" w:rsidRDefault="00E4401C" w:rsidP="00E4401C">
      <w:pPr>
        <w:shd w:val="clear" w:color="auto" w:fill="FFFFFF"/>
        <w:spacing w:before="150" w:line="360" w:lineRule="auto"/>
        <w:jc w:val="both"/>
        <w:rPr>
          <w:rFonts w:ascii="David" w:hAnsi="David"/>
          <w:b/>
          <w:bCs/>
          <w:color w:val="000000"/>
        </w:rPr>
      </w:pPr>
      <w:r>
        <w:rPr>
          <w:rFonts w:ascii="David" w:hAnsi="David"/>
          <w:b/>
          <w:bCs/>
          <w:color w:val="000000"/>
          <w:rtl/>
        </w:rPr>
        <w:lastRenderedPageBreak/>
        <w:t xml:space="preserve"> "תובענה בשל כל אחד מהעניינים המפורטים להלן תוגש בתביעה נפרדת, יהיה מספר הסעדים באותו עניין אשר יהיה</w:t>
      </w:r>
      <w:r>
        <w:rPr>
          <w:rFonts w:ascii="David" w:hAnsi="David"/>
          <w:b/>
          <w:bCs/>
          <w:color w:val="000000"/>
        </w:rPr>
        <w:t>:</w:t>
      </w:r>
    </w:p>
    <w:p w:rsidR="00E4401C" w:rsidRDefault="00E4401C" w:rsidP="00E4401C">
      <w:pPr>
        <w:shd w:val="clear" w:color="auto" w:fill="FFFFFF"/>
        <w:spacing w:line="360" w:lineRule="auto"/>
        <w:jc w:val="both"/>
        <w:rPr>
          <w:rFonts w:ascii="David" w:hAnsi="David"/>
          <w:b/>
          <w:bCs/>
          <w:color w:val="000000"/>
          <w:rtl/>
        </w:rPr>
      </w:pPr>
      <w:r>
        <w:rPr>
          <w:rFonts w:ascii="David" w:hAnsi="David"/>
          <w:b/>
          <w:bCs/>
          <w:color w:val="000000"/>
        </w:rPr>
        <w:t>(1)</w:t>
      </w:r>
      <w:r>
        <w:rPr>
          <w:rFonts w:ascii="David" w:hAnsi="David"/>
          <w:b/>
          <w:bCs/>
          <w:color w:val="000000"/>
          <w:rtl/>
        </w:rPr>
        <w:t xml:space="preserve"> </w:t>
      </w:r>
      <w:r>
        <w:rPr>
          <w:rFonts w:ascii="David" w:hAnsi="David" w:hint="cs"/>
          <w:b/>
          <w:bCs/>
          <w:color w:val="000000"/>
          <w:rtl/>
        </w:rPr>
        <w:t>תובענה כספית או רכושית, לרבות סעד הצהרתי, פירוק שיתוף בנכס וסעד לפי חוק יחסי ממון בין בני זוג, התשל"ג-1973; התובע יאחד בתובענה זו את כל עילות התביעה והסעדים כלפי אותו נתבע בשל אותה מסכת עובדתית</w:t>
      </w:r>
      <w:r>
        <w:rPr>
          <w:rFonts w:ascii="David" w:hAnsi="David"/>
          <w:b/>
          <w:bCs/>
          <w:color w:val="000000"/>
        </w:rPr>
        <w:t>;</w:t>
      </w:r>
      <w:r>
        <w:rPr>
          <w:rFonts w:ascii="David" w:hAnsi="David"/>
          <w:b/>
          <w:bCs/>
          <w:color w:val="000000"/>
          <w:rtl/>
        </w:rPr>
        <w:t xml:space="preserve"> "</w:t>
      </w:r>
    </w:p>
    <w:p w:rsidR="00E4401C" w:rsidRDefault="00E4401C" w:rsidP="00E4401C">
      <w:pPr>
        <w:shd w:val="clear" w:color="auto" w:fill="FFFFFF"/>
        <w:spacing w:line="360" w:lineRule="auto"/>
        <w:jc w:val="both"/>
        <w:rPr>
          <w:rFonts w:ascii="David" w:hAnsi="David"/>
          <w:color w:val="000000"/>
          <w:rtl/>
        </w:rPr>
      </w:pPr>
    </w:p>
    <w:p w:rsidR="00E4401C" w:rsidRDefault="00E4401C" w:rsidP="00E4401C">
      <w:pPr>
        <w:shd w:val="clear" w:color="auto" w:fill="FFFFFF"/>
        <w:spacing w:line="360" w:lineRule="auto"/>
        <w:jc w:val="both"/>
        <w:rPr>
          <w:rFonts w:ascii="David" w:hAnsi="David"/>
          <w:color w:val="000000"/>
          <w:rtl/>
        </w:rPr>
      </w:pPr>
      <w:r>
        <w:rPr>
          <w:rFonts w:ascii="David" w:hAnsi="David"/>
          <w:color w:val="000000"/>
          <w:rtl/>
        </w:rPr>
        <w:t xml:space="preserve">המבקשת טוענת כי לאור סיפת התקנה היא נדרשה לאחד בתובענה (בלשון יחיד) את על עילות התביעה והסעדים כלפי הנתבע </w:t>
      </w:r>
      <w:r>
        <w:rPr>
          <w:rFonts w:ascii="David" w:hAnsi="David"/>
          <w:b/>
          <w:bCs/>
          <w:color w:val="000000"/>
          <w:rtl/>
        </w:rPr>
        <w:t>בשל אותה מסכת עובדתית</w:t>
      </w:r>
      <w:r>
        <w:rPr>
          <w:rFonts w:ascii="David" w:hAnsi="David"/>
          <w:color w:val="000000"/>
          <w:rtl/>
        </w:rPr>
        <w:t>, ולכן החלטת ביהמ"ש קמא ניתנה בניגוד להוראת התקנה.</w:t>
      </w:r>
    </w:p>
    <w:p w:rsidR="00E4401C" w:rsidRDefault="00E4401C" w:rsidP="00E4401C">
      <w:pPr>
        <w:shd w:val="clear" w:color="auto" w:fill="FFFFFF"/>
        <w:spacing w:line="360" w:lineRule="auto"/>
        <w:jc w:val="both"/>
        <w:rPr>
          <w:rFonts w:ascii="David" w:hAnsi="David"/>
          <w:color w:val="000000"/>
          <w:rtl/>
        </w:rPr>
      </w:pPr>
    </w:p>
    <w:p w:rsidR="00E4401C" w:rsidRDefault="00E4401C" w:rsidP="00E4401C">
      <w:pPr>
        <w:shd w:val="clear" w:color="auto" w:fill="FFFFFF"/>
        <w:spacing w:line="360" w:lineRule="auto"/>
        <w:jc w:val="both"/>
        <w:rPr>
          <w:rFonts w:ascii="David" w:hAnsi="David"/>
          <w:color w:val="000000"/>
          <w:rtl/>
        </w:rPr>
      </w:pPr>
      <w:r>
        <w:rPr>
          <w:rFonts w:ascii="David" w:hAnsi="David"/>
          <w:color w:val="000000"/>
          <w:rtl/>
        </w:rPr>
        <w:t xml:space="preserve">בכל הנוגע לקביעת ביהמ"ש קמא לפיה עליה לשאת באגרה בהתאם לפרט 2 לתוספת תקנות </w:t>
      </w:r>
      <w:r>
        <w:rPr>
          <w:rFonts w:ascii="David" w:hAnsi="David"/>
          <w:rtl/>
        </w:rPr>
        <w:t>בית המשפט לעניני משפחה (אגרות), התשנ״ו– 1995</w:t>
      </w:r>
      <w:r>
        <w:rPr>
          <w:rFonts w:ascii="David" w:hAnsi="David"/>
          <w:color w:val="000000"/>
          <w:rtl/>
        </w:rPr>
        <w:t xml:space="preserve"> טוענת המבקשת כי קביעה זו בטעות יסודה שכן הצדדים הם </w:t>
      </w:r>
      <w:r>
        <w:rPr>
          <w:rFonts w:ascii="David" w:hAnsi="David"/>
          <w:b/>
          <w:bCs/>
          <w:color w:val="000000"/>
          <w:rtl/>
        </w:rPr>
        <w:t>בני זוג</w:t>
      </w:r>
      <w:r>
        <w:rPr>
          <w:rFonts w:ascii="David" w:hAnsi="David"/>
          <w:color w:val="000000"/>
          <w:rtl/>
        </w:rPr>
        <w:t xml:space="preserve"> ולכן פרט 2 לתוספת אינו חל עליהם (וזאת להבדיל מפרט 2א).</w:t>
      </w:r>
    </w:p>
    <w:p w:rsidR="00E4401C" w:rsidRDefault="00E4401C" w:rsidP="00E4401C">
      <w:pPr>
        <w:shd w:val="clear" w:color="auto" w:fill="FFFFFF"/>
        <w:spacing w:line="360" w:lineRule="auto"/>
        <w:jc w:val="both"/>
        <w:rPr>
          <w:rFonts w:ascii="David" w:hAnsi="David"/>
          <w:color w:val="000000"/>
          <w:rtl/>
        </w:rPr>
      </w:pPr>
    </w:p>
    <w:p w:rsidR="00E4401C" w:rsidRDefault="00E4401C" w:rsidP="00E4401C">
      <w:pPr>
        <w:shd w:val="clear" w:color="auto" w:fill="FFFFFF"/>
        <w:spacing w:line="360" w:lineRule="auto"/>
        <w:jc w:val="both"/>
        <w:rPr>
          <w:rFonts w:ascii="David" w:hAnsi="David"/>
          <w:color w:val="000000"/>
          <w:rtl/>
        </w:rPr>
      </w:pPr>
    </w:p>
    <w:p w:rsidR="00E4401C" w:rsidRDefault="00E4401C" w:rsidP="00E4401C">
      <w:pPr>
        <w:shd w:val="clear" w:color="auto" w:fill="FFFFFF"/>
        <w:spacing w:line="360" w:lineRule="auto"/>
        <w:jc w:val="both"/>
        <w:rPr>
          <w:rFonts w:ascii="David" w:hAnsi="David"/>
          <w:b/>
          <w:bCs/>
          <w:color w:val="000000"/>
          <w:u w:val="single"/>
          <w:rtl/>
        </w:rPr>
      </w:pPr>
      <w:r>
        <w:rPr>
          <w:rFonts w:ascii="David" w:hAnsi="David"/>
          <w:b/>
          <w:bCs/>
          <w:color w:val="000000"/>
          <w:u w:val="single"/>
          <w:rtl/>
        </w:rPr>
        <w:t>דיון והכרעה</w:t>
      </w:r>
    </w:p>
    <w:p w:rsidR="00E4401C" w:rsidRDefault="00E4401C" w:rsidP="00E4401C">
      <w:pPr>
        <w:shd w:val="clear" w:color="auto" w:fill="FFFFFF"/>
        <w:spacing w:line="360" w:lineRule="auto"/>
        <w:jc w:val="both"/>
        <w:rPr>
          <w:rFonts w:ascii="David" w:hAnsi="David"/>
          <w:color w:val="000000"/>
          <w:rtl/>
        </w:rPr>
      </w:pPr>
    </w:p>
    <w:p w:rsidR="00E4401C" w:rsidRDefault="00E4401C" w:rsidP="00E4401C">
      <w:pPr>
        <w:spacing w:line="360" w:lineRule="auto"/>
        <w:jc w:val="both"/>
        <w:rPr>
          <w:rFonts w:ascii="David" w:hAnsi="David"/>
          <w:color w:val="000000"/>
          <w:rtl/>
        </w:rPr>
      </w:pPr>
      <w:r>
        <w:rPr>
          <w:rFonts w:ascii="David" w:hAnsi="David"/>
          <w:color w:val="202122"/>
          <w:u w:val="single"/>
          <w:shd w:val="clear" w:color="auto" w:fill="FFFFFF"/>
          <w:rtl/>
        </w:rPr>
        <w:t>בכל הנוגע להשגות המבקשת כלפי החלטת ביהמ"ש קמא לפיה המבקשת לא הייתה רשאית לכרוך סעד של ביטול הסכם הגירושין ביחד עם סעד לאיזון הזכויות בין הצדדים (בניגוד להוראות אותו הסכם ולאחר שזה יבוטל)</w:t>
      </w:r>
      <w:r>
        <w:rPr>
          <w:rFonts w:ascii="David" w:hAnsi="David"/>
          <w:color w:val="202122"/>
          <w:shd w:val="clear" w:color="auto" w:fill="FFFFFF"/>
          <w:rtl/>
        </w:rPr>
        <w:t xml:space="preserve"> – אני מחליט לדחות את בקשת רשות</w:t>
      </w:r>
      <w:r w:rsidR="001A5152">
        <w:rPr>
          <w:rFonts w:ascii="David" w:hAnsi="David"/>
          <w:color w:val="202122"/>
          <w:shd w:val="clear" w:color="auto" w:fill="FFFFFF"/>
          <w:rtl/>
        </w:rPr>
        <w:t xml:space="preserve"> הערעור משלא מצאתי מקום להתערב</w:t>
      </w:r>
      <w:r>
        <w:rPr>
          <w:rFonts w:ascii="David" w:hAnsi="David"/>
          <w:color w:val="202122"/>
          <w:shd w:val="clear" w:color="auto" w:fill="FFFFFF"/>
          <w:rtl/>
        </w:rPr>
        <w:t xml:space="preserve"> בהחלטה. לא מצאתי כי החלטת ביהמ"ש קמא עומדת בסתירה להוראת תקנה 15(א)(1) לתקנות בית המשפט לענייני משפחה (סדרי דין), תשפ"א-2020</w:t>
      </w:r>
      <w:r>
        <w:rPr>
          <w:rtl/>
        </w:rPr>
        <w:t xml:space="preserve"> . תקנה 15 לתקנות אלו (שמחליפה את תקנה 258ז לתקנות סדר הדין האזרחי הקודמות) מונה ב-20 תתי סעיפיה מקרים ותובענות ספציפיות שיוגשו בנפרד. תביעה לביטול הסכם גירושין (שבעניינו כולל גם הוראות שכלל אינן רכושיות כדוגמת ענייני החזקת הקטינים ומזונותיהם) היא תביעה שונה מזו אליה מתייחסת רישת תקנה 15(א)(1) שעניינה </w:t>
      </w:r>
      <w:r>
        <w:rPr>
          <w:b/>
          <w:bCs/>
          <w:rtl/>
        </w:rPr>
        <w:t>"</w:t>
      </w:r>
      <w:r>
        <w:rPr>
          <w:rFonts w:ascii="David" w:hAnsi="David"/>
          <w:b/>
          <w:bCs/>
          <w:color w:val="000000"/>
          <w:shd w:val="clear" w:color="auto" w:fill="FFFFFF"/>
          <w:rtl/>
        </w:rPr>
        <w:t xml:space="preserve"> תובענה כספית או רכושית, לרבות סעד הצהרתי, פירוק שיתוף בנכס וסעד לפי חוק יחסי ממון בין בני זוג, התשל"ג-1973</w:t>
      </w:r>
      <w:r>
        <w:rPr>
          <w:rFonts w:ascii="David" w:hAnsi="David"/>
          <w:b/>
          <w:bCs/>
          <w:color w:val="000000"/>
          <w:shd w:val="clear" w:color="auto" w:fill="FFFFFF"/>
        </w:rPr>
        <w:t>"</w:t>
      </w:r>
      <w:r>
        <w:rPr>
          <w:rFonts w:ascii="David" w:hAnsi="David"/>
          <w:color w:val="000000"/>
          <w:rtl/>
        </w:rPr>
        <w:t xml:space="preserve"> </w:t>
      </w:r>
      <w:r>
        <w:rPr>
          <w:rFonts w:ascii="David" w:hAnsi="David" w:hint="cs"/>
          <w:color w:val="000000"/>
          <w:rtl/>
        </w:rPr>
        <w:t xml:space="preserve">. לטעמי, סיפת תקנה זו אינה מאפשרת להכניס בגדרה של תובענה זו תובענה לביטול הסכם גירושין שקיבל תוקף של פסק-דין. התביעות הן כאמור שונות במהותן, בסעדים הרלוונטים להן ואף אינן נובעות מאותה מסכת עובדתית. הסעד לו עותרת המבקשת בסעיף 25 לתביעתה לביטול הסכם הגירושין נובע מטענותיה לפגמים ברצון שהביאו לכריתת ההסכם – </w:t>
      </w:r>
      <w:r>
        <w:rPr>
          <w:rFonts w:ascii="David" w:hAnsi="David" w:hint="cs"/>
          <w:color w:val="000000"/>
          <w:rtl/>
        </w:rPr>
        <w:lastRenderedPageBreak/>
        <w:t>האלימות והאיומים שהופעלו כלפיה וכו'. הסעד לו עותרת המבקשת בסעיף 26 לתביעתה הוא "</w:t>
      </w:r>
      <w:r>
        <w:rPr>
          <w:rFonts w:ascii="David" w:hAnsi="David" w:hint="cs"/>
          <w:b/>
          <w:bCs/>
          <w:color w:val="000000"/>
          <w:rtl/>
        </w:rPr>
        <w:t>עם ביטול תוקפם של המסמכים שאושרו, יתבקש כבוד בית המשפט לאזן עפ"י חוק יחסי ממון בין בני זוג את הרכוש שנצבר במהלך כל שנות החיים המשותפים – למצער בחלקים שווים"</w:t>
      </w:r>
      <w:r>
        <w:rPr>
          <w:rFonts w:ascii="David" w:hAnsi="David" w:hint="cs"/>
          <w:color w:val="000000"/>
          <w:rtl/>
        </w:rPr>
        <w:t>. קרי גם עילת תביעה זו תעמוד למבקשת, גם להבנתה שלה, רק לאחר שתצלח בתביעתה לביטול ההסכם. המסכת העובדתית שמכוחה לומדת המבקשת את עילות התביעה והסעד לביטול ההסכם (בס' 25 לתביעה) היא מסכת עובדתית שונה מזו שעליה נסמכ</w:t>
      </w:r>
      <w:r w:rsidR="001A5152">
        <w:rPr>
          <w:rFonts w:ascii="David" w:hAnsi="David" w:hint="cs"/>
          <w:color w:val="000000"/>
          <w:rtl/>
        </w:rPr>
        <w:t>ו</w:t>
      </w:r>
      <w:r>
        <w:rPr>
          <w:rFonts w:ascii="David" w:hAnsi="David" w:hint="cs"/>
          <w:color w:val="000000"/>
          <w:rtl/>
        </w:rPr>
        <w:t>ת עילות התביעה והסעד לאיזון המשאבים (בס' 26 לתביעה). הראשונה עניינה פגמים נטעמים ברצון של המבקשת  במועד כריתת הסכם הגירושין ואישורו בחודש יוני 2023. השנייה עניינה זכויותיה של המבקשת, בנסיבות בהן ההסכם יבוטל, שנובעות מכוח חיי הנישואין של הצדדים שהחלו בשנת 2007.  אציין שהמבקשת עצמה בפרק ג' לתביעתה , בו פירטה את הסעדים, עתרה בסעיף 1 לביטול הסכם הגירושין ובסעיף 3 "</w:t>
      </w:r>
      <w:r>
        <w:rPr>
          <w:rFonts w:ascii="David" w:hAnsi="David" w:hint="cs"/>
          <w:b/>
          <w:bCs/>
          <w:color w:val="000000"/>
          <w:rtl/>
        </w:rPr>
        <w:t xml:space="preserve">לאחר שיבוטל ההסכם – אזי מבוקש להורות על איזון משאבים בין הצדדים בין במסגרת הליך זה ובין בתביעה בנפרד". </w:t>
      </w:r>
      <w:r>
        <w:rPr>
          <w:rFonts w:ascii="David" w:hAnsi="David" w:hint="cs"/>
          <w:color w:val="000000"/>
          <w:rtl/>
        </w:rPr>
        <w:t xml:space="preserve"> נראה שכבר עם ניסוח תביעתה המבקשת חזתה נכון את שקבע ביהמ"ש קמא בהחלטתו כי בנסיבות העניין ולצורך איזון המשאבים תידרש המבקשת להגיש תביעה נפרדת.</w:t>
      </w:r>
    </w:p>
    <w:p w:rsidR="00E4401C" w:rsidRDefault="00E4401C" w:rsidP="00E4401C">
      <w:pPr>
        <w:spacing w:line="360" w:lineRule="auto"/>
        <w:jc w:val="both"/>
        <w:rPr>
          <w:rFonts w:ascii="David" w:hAnsi="David"/>
          <w:color w:val="000000"/>
          <w:u w:val="single"/>
          <w:rtl/>
        </w:rPr>
      </w:pPr>
    </w:p>
    <w:p w:rsidR="00E4401C" w:rsidRDefault="00E4401C" w:rsidP="00E4401C">
      <w:pPr>
        <w:spacing w:line="360" w:lineRule="auto"/>
        <w:jc w:val="both"/>
        <w:rPr>
          <w:rFonts w:ascii="David" w:hAnsi="David"/>
          <w:color w:val="000000"/>
          <w:rtl/>
        </w:rPr>
      </w:pPr>
      <w:r>
        <w:rPr>
          <w:rFonts w:ascii="David" w:hAnsi="David"/>
          <w:color w:val="000000"/>
          <w:u w:val="single"/>
          <w:rtl/>
        </w:rPr>
        <w:t>לעניין האגרה –</w:t>
      </w:r>
      <w:r>
        <w:rPr>
          <w:rFonts w:ascii="David" w:hAnsi="David"/>
          <w:color w:val="000000"/>
          <w:rtl/>
        </w:rPr>
        <w:t xml:space="preserve"> ביהמ"ש קמא קבע בהחלטתו כי ביחס לסעד ההצהרתי אודות ביטול הסכם הגירושין אגרת התביעה שולמה בחסר ועל המבקשת לשלם אגרה לפי פרט 2 לתוספת הראשונה לתקנות האגרות בבית המשפט לענייני משפחה. המבקשת סבורה כי האגרה אותה היא צריכה לשלם היא לפי פרט 2א לאותה תוספת, וזאת משום שהיא והמשיב הם בני זוג. לשם הנוחות אביא את הפרטים השונים מהתוספת:</w:t>
      </w:r>
    </w:p>
    <w:p w:rsidR="00E4401C" w:rsidRDefault="00E4401C" w:rsidP="00E4401C">
      <w:pPr>
        <w:spacing w:line="360" w:lineRule="auto"/>
        <w:jc w:val="both"/>
        <w:rPr>
          <w:rFonts w:ascii="David" w:hAnsi="David"/>
          <w:color w:val="000000"/>
          <w:rtl/>
        </w:rPr>
      </w:pPr>
    </w:p>
    <w:p w:rsidR="00E4401C" w:rsidRDefault="00E4401C" w:rsidP="00E4401C">
      <w:pPr>
        <w:spacing w:line="360" w:lineRule="auto"/>
        <w:jc w:val="both"/>
        <w:rPr>
          <w:rFonts w:ascii="David" w:hAnsi="David"/>
          <w:color w:val="000000"/>
          <w:rtl/>
        </w:rPr>
      </w:pPr>
    </w:p>
    <w:p w:rsidR="00E4401C" w:rsidRDefault="00E4401C" w:rsidP="00E4401C">
      <w:pPr>
        <w:spacing w:line="360" w:lineRule="auto"/>
        <w:jc w:val="both"/>
        <w:rPr>
          <w:rFonts w:ascii="David" w:hAnsi="David"/>
          <w:b/>
          <w:bCs/>
          <w:color w:val="000000"/>
          <w:rtl/>
        </w:rPr>
      </w:pPr>
      <w:r>
        <w:rPr>
          <w:rFonts w:ascii="David" w:hAnsi="David"/>
          <w:b/>
          <w:bCs/>
          <w:color w:val="000000"/>
        </w:rPr>
        <w:t>2</w:t>
      </w:r>
      <w:r w:rsidR="008A0EF7">
        <w:rPr>
          <w:rFonts w:ascii="David" w:hAnsi="David"/>
          <w:b/>
          <w:bCs/>
          <w:color w:val="000000"/>
        </w:rPr>
        <w:t>"'</w:t>
      </w:r>
      <w:r>
        <w:rPr>
          <w:rFonts w:ascii="David" w:hAnsi="David"/>
          <w:b/>
          <w:bCs/>
          <w:color w:val="000000"/>
          <w:rtl/>
        </w:rPr>
        <w:t>. כל תביעה בענייני רכוש שאינה לסכום כסף קצוב, לרבות תביעה לאיזון משאבים, לפירוק שיתוף, לפסק דין הצהרתי בענייני רכוש ולמתן חשבונות, יהיו מספר הסעדים ומספר פריטי הרכוש אשר יהיו, למעט כאמור </w:t>
      </w:r>
      <w:hyperlink r:id="rId9" w:anchor="%D7%AA%D7%95%D7%A1%D7%A4%D7%AA_1_%D7%A4%D7%A8%D7%98_2%D7%90" w:history="1">
        <w:r>
          <w:rPr>
            <w:rStyle w:val="Hyperlink"/>
            <w:rFonts w:ascii="David" w:hAnsi="David" w:hint="cs"/>
            <w:b/>
            <w:bCs/>
            <w:color w:val="000000"/>
            <w:rtl/>
          </w:rPr>
          <w:t>בפרט 2א</w:t>
        </w:r>
      </w:hyperlink>
    </w:p>
    <w:p w:rsidR="00E4401C" w:rsidRDefault="00E4401C" w:rsidP="00E4401C">
      <w:pPr>
        <w:spacing w:line="360" w:lineRule="auto"/>
        <w:jc w:val="both"/>
        <w:rPr>
          <w:rFonts w:ascii="David" w:hAnsi="David"/>
          <w:b/>
          <w:bCs/>
          <w:color w:val="000000"/>
          <w:rtl/>
        </w:rPr>
      </w:pPr>
      <w:r>
        <w:rPr>
          <w:rFonts w:ascii="David" w:hAnsi="David"/>
          <w:b/>
          <w:bCs/>
          <w:color w:val="000000"/>
          <w:rtl/>
        </w:rPr>
        <w:t>2א. כל תביעה בענייני רכוש בין בני זוג לסכום שאינו קצוב שנובעת מהקשר בין בני הזוג, לרבות תביעה לאיזון משאבים, לפירוק שיתוף, לפסק דין הצהרתי בענייני רכוש ולמתן חשבונות, יהיו מספר הסעדים ומספר פריטי הרכוש אשר יהיו. "</w:t>
      </w:r>
    </w:p>
    <w:p w:rsidR="00E4401C" w:rsidRDefault="00E4401C" w:rsidP="00E4401C">
      <w:pPr>
        <w:spacing w:line="360" w:lineRule="auto"/>
        <w:jc w:val="both"/>
        <w:rPr>
          <w:rFonts w:ascii="David" w:hAnsi="David"/>
          <w:b/>
          <w:bCs/>
          <w:color w:val="000000"/>
          <w:rtl/>
        </w:rPr>
      </w:pPr>
    </w:p>
    <w:p w:rsidR="00E4401C" w:rsidRDefault="00E4401C" w:rsidP="00E4401C">
      <w:pPr>
        <w:spacing w:line="360" w:lineRule="auto"/>
        <w:jc w:val="both"/>
        <w:rPr>
          <w:rFonts w:ascii="David" w:hAnsi="David"/>
          <w:color w:val="000000"/>
          <w:rtl/>
        </w:rPr>
      </w:pPr>
    </w:p>
    <w:p w:rsidR="00E4401C" w:rsidRDefault="00E4401C" w:rsidP="00E4401C">
      <w:pPr>
        <w:spacing w:line="360" w:lineRule="auto"/>
        <w:jc w:val="both"/>
        <w:rPr>
          <w:rFonts w:ascii="David" w:hAnsi="David"/>
          <w:color w:val="000000"/>
          <w:rtl/>
        </w:rPr>
      </w:pPr>
      <w:r>
        <w:rPr>
          <w:rFonts w:ascii="David" w:hAnsi="David"/>
          <w:color w:val="000000"/>
          <w:rtl/>
        </w:rPr>
        <w:lastRenderedPageBreak/>
        <w:t xml:space="preserve">בטרם אביע עמדתי במחלוקת, והואיל וביני לבין עצמי אני מתלבט בשאלה אם האגרה בה חבה המבקשת בגין תביעתה לביטול הסכם הגירושין (שהיא כאמור התביעה שלאור החלטת ביהמ"ש קמא והחלטתי לעיל שעומדת כעת על המדוכה ועסקינן בתביעה </w:t>
      </w:r>
      <w:r w:rsidR="008A0EF7">
        <w:rPr>
          <w:rFonts w:ascii="David" w:hAnsi="David" w:hint="cs"/>
          <w:color w:val="000000"/>
          <w:rtl/>
        </w:rPr>
        <w:t>ש</w:t>
      </w:r>
      <w:r>
        <w:rPr>
          <w:rFonts w:ascii="David" w:hAnsi="David"/>
          <w:color w:val="000000"/>
          <w:rtl/>
        </w:rPr>
        <w:t>אין בצדה כל סעד כספי שהתבקש וכן הובהר כי רק  בעתיד ככל שתצלח בתביעתה המבקשת תידרש ממילא להגיש תביעה לאיזון משאבים ובגינה לשלם אגרה מתאימה) צריכה להיות לפי החלופה השיורית הקבועה בפרט 6 לתוספת ("</w:t>
      </w:r>
      <w:r>
        <w:rPr>
          <w:rFonts w:ascii="David" w:hAnsi="David"/>
          <w:b/>
          <w:bCs/>
          <w:color w:val="202122"/>
          <w:shd w:val="clear" w:color="auto" w:fill="FFFFFF"/>
          <w:rtl/>
        </w:rPr>
        <w:t>כל תביעה אחרת לרבות אישור הסכם כאשר אין תביעה תלויה ועומדת בעניין או ערעור בבית המשפט לענייני משפחה, ולמעט אישור הסכם כאמור </w:t>
      </w:r>
      <w:r>
        <w:rPr>
          <w:rStyle w:val="law-local"/>
          <w:b/>
          <w:bCs/>
          <w:rtl/>
        </w:rPr>
        <w:t>בפרט 6א</w:t>
      </w:r>
      <w:r>
        <w:rPr>
          <w:rFonts w:ascii="David" w:hAnsi="David"/>
          <w:color w:val="000000"/>
          <w:rtl/>
        </w:rPr>
        <w:t>") – אבקש לקבל את עמדת המדינה בנושא.</w:t>
      </w:r>
    </w:p>
    <w:p w:rsidR="00E4401C" w:rsidRDefault="00E4401C" w:rsidP="00E4401C">
      <w:pPr>
        <w:spacing w:line="360" w:lineRule="auto"/>
        <w:jc w:val="both"/>
        <w:rPr>
          <w:rFonts w:ascii="David" w:hAnsi="David"/>
          <w:color w:val="000000"/>
          <w:rtl/>
        </w:rPr>
      </w:pPr>
    </w:p>
    <w:p w:rsidR="00E4401C" w:rsidRDefault="00E4401C" w:rsidP="00E4401C">
      <w:pPr>
        <w:spacing w:line="360" w:lineRule="auto"/>
        <w:jc w:val="both"/>
        <w:rPr>
          <w:rFonts w:ascii="David" w:eastAsiaTheme="minorHAnsi" w:hAnsi="David"/>
          <w:rtl/>
        </w:rPr>
      </w:pPr>
      <w:r>
        <w:rPr>
          <w:rFonts w:ascii="David" w:hAnsi="David"/>
          <w:rtl/>
        </w:rPr>
        <w:t xml:space="preserve">אני סבור כי עמדתה של המדינה, בעלת הדין העיקרית לעניין אגרה, נדרשת לצורך ההכרעה בחלק זה של בקשת רשות הערעור שלפניי (ראו והשוו רע"א 783/05 </w:t>
      </w:r>
      <w:r w:rsidRPr="00E4401C">
        <w:rPr>
          <w:rFonts w:ascii="David" w:hAnsi="David"/>
          <w:b/>
          <w:bCs/>
          <w:u w:val="single"/>
          <w:rtl/>
        </w:rPr>
        <w:t>ני</w:t>
      </w:r>
      <w:r>
        <w:rPr>
          <w:rFonts w:ascii="David" w:hAnsi="David"/>
          <w:b/>
          <w:bCs/>
          <w:u w:val="single"/>
          <w:rtl/>
        </w:rPr>
        <w:t xml:space="preserve">לי ענבי ואח' נ' אייל קורן ואח' </w:t>
      </w:r>
      <w:r>
        <w:rPr>
          <w:rFonts w:ascii="David" w:hAnsi="David"/>
          <w:rtl/>
        </w:rPr>
        <w:t>,פורסם בנבו, 20.6.06).</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לפיכך אבקש התייחסות המדינה לסוגיה שבמחלוקת בתוך 30 ימים.</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 xml:space="preserve">המזכירות תמציא את החלטתי זו ואת בקשת רשות הערעור </w:t>
      </w:r>
      <w:r>
        <w:rPr>
          <w:rFonts w:ascii="David" w:hAnsi="David"/>
          <w:b/>
          <w:bCs/>
          <w:rtl/>
        </w:rPr>
        <w:t>לנציג היועץ המשפטי לממשלה באמצעות פרקליטות מחוז תל-אביב אזרחי</w:t>
      </w:r>
      <w:r>
        <w:rPr>
          <w:rFonts w:ascii="David" w:hAnsi="David"/>
          <w:rtl/>
        </w:rPr>
        <w:t>. ב"כ המבקשת ידאג להמציא לאחרון העתק של תביעת המבקשת כפי שהוגשה לביהמ"ש קמא (הואיל וזו לא צורפה כנספח לבקשת רשות הערעור שלפניי).</w:t>
      </w:r>
    </w:p>
    <w:p w:rsidR="00E4401C" w:rsidRDefault="00E4401C" w:rsidP="00E4401C">
      <w:pPr>
        <w:spacing w:line="360" w:lineRule="auto"/>
        <w:jc w:val="both"/>
        <w:rPr>
          <w:rFonts w:ascii="David" w:hAnsi="David"/>
          <w:rtl/>
        </w:rPr>
      </w:pPr>
    </w:p>
    <w:p w:rsidR="00E4401C" w:rsidRDefault="00E4401C" w:rsidP="00E4401C">
      <w:pPr>
        <w:spacing w:line="360" w:lineRule="auto"/>
        <w:jc w:val="both"/>
        <w:rPr>
          <w:rFonts w:ascii="David" w:hAnsi="David"/>
          <w:rtl/>
        </w:rPr>
      </w:pPr>
      <w:r>
        <w:rPr>
          <w:rFonts w:ascii="David" w:hAnsi="David"/>
          <w:rtl/>
        </w:rPr>
        <w:t>ת.פ. למעקב ליום 19.6.24.</w:t>
      </w:r>
    </w:p>
    <w:p w:rsidR="00E4401C" w:rsidRDefault="00E4401C" w:rsidP="00E4401C">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2024</w:t>
          </w:r>
        </w:sdtContent>
      </w:sdt>
      <w:r w:rsidR="00005C8B">
        <w:rPr>
          <w:rFonts w:ascii="Arial" w:hAnsi="Arial"/>
          <w:noProof w:val="0"/>
          <w:rtl/>
        </w:rPr>
        <w:t>, בהעדר הצדדים.</w:t>
      </w:r>
    </w:p>
    <w:p w:rsidR="00C43648" w:rsidRDefault="00AE5BF1"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AE5BF1" w:rsidP="00C43648">
      <w:pPr>
        <w:tabs>
          <w:tab w:val="left" w:pos="2553"/>
        </w:tabs>
        <w:ind w:left="5040"/>
      </w:pPr>
      <w:sdt>
        <w:sdtPr>
          <w:rPr>
            <w:rtl/>
          </w:rPr>
          <w:alias w:val="MergeField"/>
          <w:tag w:val="1237"/>
          <w:id w:val="-1934735219"/>
        </w:sdtPr>
        <w:sdtEndPr/>
        <w:sdtContent>
          <w:r w:rsidR="008428A7">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1"/>
      <w:headerReference w:type="default" r:id="rId12"/>
      <w:footerReference w:type="even" r:id="rId13"/>
      <w:footerReference w:type="default" r:id="rId14"/>
      <w:headerReference w:type="first" r:id="rId15"/>
      <w:footerReference w:type="first" r:id="rId16"/>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BF1" w:rsidRDefault="00AE5BF1">
      <w:r>
        <w:separator/>
      </w:r>
    </w:p>
  </w:endnote>
  <w:endnote w:type="continuationSeparator" w:id="0">
    <w:p w:rsidR="00AE5BF1" w:rsidRDefault="00AE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1F9" w:rsidRDefault="009301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725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725E">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1F9" w:rsidRDefault="009301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BF1" w:rsidRDefault="00AE5BF1">
      <w:r>
        <w:separator/>
      </w:r>
    </w:p>
  </w:footnote>
  <w:footnote w:type="continuationSeparator" w:id="0">
    <w:p w:rsidR="00AE5BF1" w:rsidRDefault="00AE5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1F9" w:rsidRDefault="009301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E5BF1" w:rsidP="008428A7">
          <w:pPr>
            <w:rPr>
              <w:b/>
              <w:bCs/>
              <w:noProof w:val="0"/>
              <w:sz w:val="26"/>
              <w:szCs w:val="26"/>
              <w:rtl/>
            </w:rPr>
          </w:pPr>
          <w:sdt>
            <w:sdtPr>
              <w:rPr>
                <w:rtl/>
              </w:rPr>
              <w:alias w:val="1170"/>
              <w:tag w:val="1170"/>
              <w:id w:val="1066377040"/>
              <w:text w:multiLine="1"/>
            </w:sdtPr>
            <w:sdtEndPr/>
            <w:sdtContent>
              <w:proofErr w:type="spellStart"/>
              <w:r w:rsidR="00750A27">
                <w:rPr>
                  <w:b/>
                  <w:bCs/>
                  <w:noProof w:val="0"/>
                  <w:sz w:val="26"/>
                  <w:szCs w:val="26"/>
                  <w:rtl/>
                </w:rPr>
                <w:t>רמ"ש</w:t>
              </w:r>
              <w:proofErr w:type="spellEnd"/>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750A27">
                <w:rPr>
                  <w:b/>
                  <w:bCs/>
                  <w:noProof w:val="0"/>
                  <w:sz w:val="26"/>
                  <w:szCs w:val="26"/>
                  <w:rtl/>
                </w:rPr>
                <w:t>2882-06-24</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8428A7">
                <w:rPr>
                  <w:rFonts w:hint="cs"/>
                  <w:b/>
                  <w:bCs/>
                  <w:noProof w:val="0"/>
                  <w:sz w:val="26"/>
                  <w:szCs w:val="26"/>
                  <w:rtl/>
                </w:rPr>
                <w:t>פלונית</w:t>
              </w:r>
              <w:r w:rsidR="00750A27">
                <w:rPr>
                  <w:b/>
                  <w:bCs/>
                  <w:noProof w:val="0"/>
                  <w:sz w:val="26"/>
                  <w:szCs w:val="26"/>
                  <w:rtl/>
                </w:rPr>
                <w:t xml:space="preserve"> נ' </w:t>
              </w:r>
              <w:r w:rsidR="008428A7">
                <w:rPr>
                  <w:rFonts w:hint="cs"/>
                  <w:b/>
                  <w:bCs/>
                  <w:noProof w:val="0"/>
                  <w:sz w:val="26"/>
                  <w:szCs w:val="26"/>
                  <w:rtl/>
                </w:rPr>
                <w:t>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1F9" w:rsidRDefault="009301F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780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78020&amp;lt;/CaseID&amp;gt;_x000d__x000a_        &amp;lt;CaseMonth&amp;gt;6&amp;lt;/CaseMonth&amp;gt;_x000d__x000a_        &amp;lt;CaseYear&amp;gt;2024&amp;lt;/CaseYear&amp;gt;_x000d__x000a_        &amp;lt;CaseNumber&amp;gt;2882&amp;lt;/CaseNumber&amp;gt;_x000d__x000a_        &amp;lt;NumeratorGroupID&amp;gt;1&amp;lt;/NumeratorGroupID&amp;gt;_x000d__x000a_        &amp;lt;CaseName&amp;gt;משייב נ&amp;#39; משייב&amp;lt;/CaseName&amp;gt;_x000d__x000a_        &amp;lt;CourtID&amp;gt;15&amp;lt;/CourtID&amp;gt;_x000d__x000a_        &amp;lt;CaseTypeID&amp;gt;10074&amp;lt;/CaseTypeID&amp;gt;_x000d__x000a_        &amp;lt;CaseInterestID&amp;gt;10508&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882-06-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02T14:41: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כרוך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78020&amp;lt;/CaseID&amp;gt;_x000d__x000a_        &amp;lt;CaseMonth&amp;gt;6&amp;lt;/CaseMonth&amp;gt;_x000d__x000a_        &amp;lt;CaseYear&amp;gt;2024&amp;lt;/CaseYear&amp;gt;_x000d__x000a_        &amp;lt;CaseNumber&amp;gt;2882&amp;lt;/CaseNumber&amp;gt;_x000d__x000a_        &amp;lt;NumeratorGroupID&amp;gt;1&amp;lt;/NumeratorGroupID&amp;gt;_x000d__x000a_        &amp;lt;CaseName&amp;gt;משייב נ&amp;#39; משייב&amp;lt;/CaseName&amp;gt;_x000d__x000a_        &amp;lt;CourtID&amp;gt;15&amp;lt;/CourtID&amp;gt;_x000d__x000a_        &amp;lt;CaseTypeID&amp;gt;10074&amp;lt;/CaseTypeID&amp;gt;_x000d__x000a_        &amp;lt;CaseInterestID&amp;gt;10508&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882-06-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6-02T14:41: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כרוך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18458&amp;lt;/DecisionID&amp;gt;_x000d__x000a_        &amp;lt;DecisionName&amp;gt;החלטה  שניתנה ע&amp;quot;י  שאול שוחט&amp;lt;/DecisionName&amp;gt;_x000d__x000a_        &amp;lt;DecisionStatusID&amp;gt;1&amp;lt;/DecisionStatusID&amp;gt;_x000d__x000a_        &amp;lt;DecisionStatusChangeDate&amp;gt;2024-06-18T14:30:36.093+03:00&amp;lt;/DecisionStatusChangeDate&amp;gt;_x000d__x000a_        &amp;lt;DecisionSignatureDate&amp;gt;2024-06-18T14:30:32.917+03:00&amp;lt;/DecisionSignatureDate&amp;gt;_x000d__x000a_        &amp;lt;DecisionSignatureUserID&amp;gt;053515011@GOV.IL&amp;lt;/DecisionSignatureUserID&amp;gt;_x000d__x000a_        &amp;lt;DecisionCreateDate&amp;gt;2024-06-18T14:30:35.947+03:00&amp;lt;/DecisionCreateDate&amp;gt;_x000d__x000a_        &amp;lt;DecisionChangeDate&amp;gt;2024-06-18T14:30:36.10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2112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318458&amp;lt;/DecisionID&amp;gt;_x000d__x000a_        &amp;lt;CaseID&amp;gt;81278020&amp;lt;/CaseID&amp;gt;_x000d__x000a_        &amp;lt;IsOriginal&amp;gt;true&amp;lt;/IsOriginal&amp;gt;_x000d__x000a_        &amp;lt;IsDeleted&amp;gt;false&amp;lt;/IsDeleted&amp;gt;_x000d__x000a_        &amp;lt;CaseName&amp;gt;משייב נ&amp;#39; משייב&amp;lt;/CaseName&amp;gt;_x000d__x000a_        &amp;lt;CaseDisplayIdentifier&amp;gt;2882-06-24 רמ&amp;quot;ש&amp;lt;/CaseDisplayIdentifier&amp;gt;_x000d__x000a_      &amp;lt;/dt_DecisionCase&amp;gt;_x000d__x000a_    &amp;lt;/DecisionDS&amp;gt;_x000d__x000a_  &amp;lt;/diffgr:diffgram&amp;gt;_x000d__x000a_&amp;lt;/DecisionDS&amp;gt;"/>
    <w:docVar w:name="DecisionID" w:val="152318458"/>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A5152"/>
    <w:rsid w:val="001C4003"/>
    <w:rsid w:val="001D4DBF"/>
    <w:rsid w:val="001E75CA"/>
    <w:rsid w:val="002265FF"/>
    <w:rsid w:val="002450EA"/>
    <w:rsid w:val="002C344E"/>
    <w:rsid w:val="002D4C1B"/>
    <w:rsid w:val="002E5258"/>
    <w:rsid w:val="002F602F"/>
    <w:rsid w:val="00307A6A"/>
    <w:rsid w:val="00307C40"/>
    <w:rsid w:val="00320433"/>
    <w:rsid w:val="003230C7"/>
    <w:rsid w:val="00327CB2"/>
    <w:rsid w:val="00327E50"/>
    <w:rsid w:val="0033597A"/>
    <w:rsid w:val="00362612"/>
    <w:rsid w:val="0036743F"/>
    <w:rsid w:val="003715DD"/>
    <w:rsid w:val="003823E0"/>
    <w:rsid w:val="003A4521"/>
    <w:rsid w:val="003D1C8C"/>
    <w:rsid w:val="0040096C"/>
    <w:rsid w:val="00414F1F"/>
    <w:rsid w:val="0043125D"/>
    <w:rsid w:val="0043502B"/>
    <w:rsid w:val="004443AC"/>
    <w:rsid w:val="004C4BDF"/>
    <w:rsid w:val="004D1187"/>
    <w:rsid w:val="004E1987"/>
    <w:rsid w:val="004E2E15"/>
    <w:rsid w:val="004E4BA7"/>
    <w:rsid w:val="004E5874"/>
    <w:rsid w:val="004E6E3C"/>
    <w:rsid w:val="004F14F0"/>
    <w:rsid w:val="00520898"/>
    <w:rsid w:val="00524986"/>
    <w:rsid w:val="005268F6"/>
    <w:rsid w:val="00547DB7"/>
    <w:rsid w:val="005F4F09"/>
    <w:rsid w:val="0061431B"/>
    <w:rsid w:val="00622BAA"/>
    <w:rsid w:val="006306CF"/>
    <w:rsid w:val="00644E9A"/>
    <w:rsid w:val="0065725E"/>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28A7"/>
    <w:rsid w:val="00844318"/>
    <w:rsid w:val="00870890"/>
    <w:rsid w:val="00873602"/>
    <w:rsid w:val="00875D12"/>
    <w:rsid w:val="00896889"/>
    <w:rsid w:val="008A0EF7"/>
    <w:rsid w:val="008C5714"/>
    <w:rsid w:val="008D10B2"/>
    <w:rsid w:val="00903896"/>
    <w:rsid w:val="00906F3D"/>
    <w:rsid w:val="009301F9"/>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5BF1"/>
    <w:rsid w:val="00AE7752"/>
    <w:rsid w:val="00AF7FDA"/>
    <w:rsid w:val="00B80CBD"/>
    <w:rsid w:val="00B86096"/>
    <w:rsid w:val="00BA517C"/>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4401C"/>
    <w:rsid w:val="00E5426A"/>
    <w:rsid w:val="00E54642"/>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law-local">
    <w:name w:val="law-local"/>
    <w:basedOn w:val="a0"/>
    <w:rsid w:val="00E4401C"/>
  </w:style>
  <w:style w:type="character" w:styleId="Hyperlink">
    <w:name w:val="Hyperlink"/>
    <w:basedOn w:val="a0"/>
    <w:uiPriority w:val="99"/>
    <w:semiHidden/>
    <w:unhideWhenUsed/>
    <w:rsid w:val="00E440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387082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he.wikisource.org/wiki/%D7%AA%D7%A7%D7%A0%D7%95%D7%AA_%D7%91%D7%99%D7%AA_%D7%94%D7%9E%D7%A9%D7%A4%D7%98_%D7%9C%D7%A2%D7%A0%D7%99%D7%A0%D7%99_%D7%9E%D7%A9%D7%A4%D7%97%D7%94_(%D7%90%D7%92%D7%A8%D7%95%D7%AA)"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7E147C" w:rsidP="007E147C">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1623D"/>
    <w:rsid w:val="005C53BE"/>
    <w:rsid w:val="007E147C"/>
    <w:rsid w:val="00867E3F"/>
    <w:rsid w:val="008A1B90"/>
    <w:rsid w:val="009133C7"/>
    <w:rsid w:val="00924F53"/>
    <w:rsid w:val="00AA7CE3"/>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147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7E147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אולגה משייב</FullName>
        <FirstName>אולגה</FirstName>
        <LastName>משייב</LastName>
        <PartyPropertyName/>
        <AuthenticationTypeAndNumber>ת"ז 306217860</AuthenticationTypeAndNumber>
        <RepresentatedOrRepresentativesNames>דין עדני</RepresentatedOrRepresentativesNames>
        <RepresentatedOrRepresentativesCount>1</RepresentatedOrRepresentativesCount>
        <InvitedBy/>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270936194</CasePartyID>
        <PartyTypeID>1</PartyTypeID>
        <ActivityStatusID>1</ActivityStatusID>
        <PartyAliasID>3</PartyAliasID>
        <PartyAliasName>מבקש</PartyAliasName>
        <OrdinalNumber>1</OrdinalNumber>
        <LegalEntityID>81298228</LegalEntityID>
        <CaseLegalEntityID>129112573</CaseLegalEntityID>
        <AuthenticationTypeID>1</AuthenticationTypeID>
        <AuthenticationTypeName>ת"ז</AuthenticationTypeName>
        <LegalEntityNumber>306217860</LegalEntityNumber>
        <IsMainPartyType>true</IsMainPartyType>
        <CaseDisplayIdentifier>2882-06-24</CaseDisplayIdentifier>
        <CaseTypeID>10074</CaseTypeID>
        <CaseTypeName>רשות ערעור משפחה (רמ"ש)</CaseTypeName>
        <CaseName>משייב נ' משייב</CaseName>
        <FullAddress>קפלוסקי 14 חולון </FullAddress>
        <MotionID>0</MotionID>
        <CasePleaID>0</CasePleaID>
        <FatherName>הילל</FatherName>
        <LinkedCaseID>0</LinkedCaseID>
        <PartyID>1</PartyID>
        <CasePartyCategoryID>2</CasePartyCategoryID>
        <LegalEntityAddressID>89318610</LegalEntityAddressID>
        <PleaTypeID>5</PleaTypeID>
        <GroupPartyAlias>מבקשים</GroupPartyAlias>
        <IsConverted>false</IsConverted>
        <LegalEntityRegisteredNameID>10393693</LegalEntityRegisteredNameID>
        <LegalEntityNameID>96586914</LegalEntityNameID>
        <RepresentatedNamesOfAssistant/>
        <LegalEntityTypeID>1</LegalEntityTypeID>
        <IsVerdictExists>false</IsVerdictExists>
        <IsAsirAzir>false</IsAsirAzir>
        <IsPublicationProhibited>false</IsPublicationProhibited>
        <PublicationProhibitedFullName>אולגה משייב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דין עדני</FullName>
        <FirstName>דין</FirstName>
        <LastName>עדני</LastName>
        <PartyPropertyName/>
        <AuthenticationTypeAndNumber>מ.ר. 36025</AuthenticationTypeAndNumber>
        <RepresentatedOrRepresentativesNames>אולגה משייב</RepresentatedOrRepresentativesNames>
        <RepresentatedOrRepresentativesCount>1</RepresentatedOrRepresentativesCount>
        <InvitedBy/>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270936196</CasePartyID>
        <PartyTypeID>2</PartyTypeID>
        <ActivityStatusID>1</ActivityStatusID>
        <PartyAliasID>22</PartyAliasID>
        <PartyAliasName>בא כוח מבקשים</PartyAliasName>
        <OrdinalNumber>1</OrdinalNumber>
        <LegalEntityID>407595</LegalEntityID>
        <CaseLegalEntityID>129112575</CaseLegalEntityID>
        <AuthenticationTypeID>4</AuthenticationTypeID>
        <AuthenticationTypeName>מ.ר.</AuthenticationTypeName>
        <LegalEntityNumber>36025</LegalEntityNumber>
        <IsMainPartyType>true</IsMainPartyType>
        <CaseDisplayIdentifier>2882-06-24</CaseDisplayIdentifier>
        <CaseTypeID>10074</CaseTypeID>
        <CaseTypeName>רשות ערעור משפחה (רמ"ש)</CaseTypeName>
        <CaseName>משייב נ' משייב</CaseName>
        <FullAddress>מנחם בגין 37 תל אביב -יפו קומה 2</FullAddress>
        <EmailAddress>dindalit@gmail.com</EmailAddress>
        <MotionID>0</MotionID>
        <CasePleaID>0</CasePleaID>
        <FatherName xml:space="preserve">        </FatherName>
        <LinkedCaseID>0</LinkedCaseID>
        <PartyID>1</PartyID>
        <CasePartyCategoryID>2</CasePartyCategoryID>
        <LegalEntityAddressID>77861424</LegalEntityAddressID>
        <LegalEntityEmailAddressID>67830079</LegalEntityEmailAddressID>
        <PleaTypeID>5</PleaTypeID>
        <LawyerOfficeName>משרד עו"ד: דין עדני</LawyerOfficeName>
        <LawyerOfficeID>448239</LawyerOfficeID>
        <GroupPartyAlias/>
        <IsConverted>false</IsConverted>
        <LegalEntityNameID>28579</LegalEntityNameID>
        <RepresentatedNamesOfAssistant/>
        <LegalEntityTypeID>4</LegalEntityTypeID>
        <IsVerdictExists>false</IsVerdictExists>
        <IsAsirAzir>false</IsAsirAzir>
        <IsPublicationProhibited>false</IsPublicationProhibited>
        <PublicationProhibitedFullName>דין עדני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זבולון משייב</FullName>
        <FirstName>זבולון</FirstName>
        <LastName>משייב</LastName>
        <PartyPropertyName/>
        <AuthenticationTypeAndNumber>ת"ז 306754185</AuthenticationTypeAndNumber>
        <RepresentatedOrRepresentativesNames/>
        <RepresentatedOrRepresentativesCount>0</RepresentatedOrRepresentativesCount>
        <InvitedBy/>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270936195</CasePartyID>
        <PartyTypeID>1</PartyTypeID>
        <ActivityStatusID>1</ActivityStatusID>
        <PartyAliasID>4</PartyAliasID>
        <PartyAliasName>משיב</PartyAliasName>
        <OrdinalNumber>1</OrdinalNumber>
        <LegalEntityID>76010863</LegalEntityID>
        <CaseLegalEntityID>129112574</CaseLegalEntityID>
        <AuthenticationTypeID>1</AuthenticationTypeID>
        <AuthenticationTypeName>ת"ז</AuthenticationTypeName>
        <LegalEntityNumber>306754185</LegalEntityNumber>
        <IsMainPartyType>true</IsMainPartyType>
        <CaseDisplayIdentifier>2882-06-24</CaseDisplayIdentifier>
        <CaseTypeID>10074</CaseTypeID>
        <CaseTypeName>רשות ערעור משפחה (רמ"ש)</CaseTypeName>
        <CaseName>משייב נ' משייב</CaseName>
        <FullAddress>ברזויל 1 חולון </FullAddress>
        <MotionID>0</MotionID>
        <CasePleaID>0</CasePleaID>
        <BirthDate>1977-04-04T00:00:00+02:00</BirthDate>
        <FatherName>ארקדי</FatherName>
        <LinkedCaseID>0</LinkedCaseID>
        <PartyID>2</PartyID>
        <CasePartyCategoryID>2</CasePartyCategoryID>
        <LegalEntityAddressID>89318611</LegalEntityAddressID>
        <PleaTypeID>5</PleaTypeID>
        <GroupPartyAlias>משיבים</GroupPartyAlias>
        <IsConverted>false</IsConverted>
        <LegalEntityRegisteredNameID>5970853</LegalEntityRegisteredNameID>
        <LegalEntityNameID>96586915</LegalEntityNameID>
        <RepresentatedNamesOfAssistant/>
        <LegalEntityTypeID>1</LegalEntityTypeID>
        <IsVerdictExists>false</IsVerdictExists>
        <IsAsirAzir>false</IsAsirAzir>
        <IsPublicationProhibited>false</IsPublicationProhibited>
        <PublicationProhibitedFullName>זבולון משייב</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2024-06-18T14:29:12.8613846+03:00</DecisionSignatureDate>
    <OpenCaseDate>2024-06-02T14:41:00+03:00</OpenCaseDate>
    <CaseFeeSum>0.000</CaseFeeSum>
    <DecisionTypeID>1</DecisionTypeID>
    <DecisionSignatureUserName>שאול שוחט</DecisionSignatureUserName>
    <DecisionSignatureDateHebrew>2024-06-18T14:29:12.8613846+03:00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משייב נ' משייב</CaseName>
    <DecisionNumberInCase>1</DecisionNumberInCase>
  </dt_Decision>
  <dt_DecisionCase>
    <DecisionID>0</DecisionID>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אולגה משייב</FullName>
        <FirstName>אולגה</FirstName>
        <LastName>משייב</LastName>
        <PartyPropertyName/>
        <AuthenticationTypeAndNumber>ת"ז 306217860</AuthenticationTypeAndNumber>
        <RepresentatedOrRepresentativesNames>דין עדני</RepresentatedOrRepresentativesNames>
        <RepresentatedOrRepresentativesCount>1</RepresentatedOrRepresentativesCount>
        <InvitedBy/>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270936194</CasePartyID>
        <PartyTypeID>1</PartyTypeID>
        <ActivityStatusID>1</ActivityStatusID>
        <PartyAliasID>3</PartyAliasID>
        <PartyAliasName>מבקש</PartyAliasName>
        <OrdinalNumber>1</OrdinalNumber>
        <LegalEntityID>81298228</LegalEntityID>
        <CaseLegalEntityID>129112573</CaseLegalEntityID>
        <AuthenticationTypeID>1</AuthenticationTypeID>
        <AuthenticationTypeName>ת"ז</AuthenticationTypeName>
        <LegalEntityNumber>306217860</LegalEntityNumber>
        <IsMainPartyType>true</IsMainPartyType>
        <CaseDisplayIdentifier>2882-06-24</CaseDisplayIdentifier>
        <CaseTypeID>10074</CaseTypeID>
        <CaseTypeName>רשות ערעור משפחה (רמ"ש)</CaseTypeName>
        <CaseName>משייב נ' משייב</CaseName>
        <FullAddress>קפלוסקי 14 חולון </FullAddress>
        <MotionID>0</MotionID>
        <CasePleaID>0</CasePleaID>
        <FatherName>הילל</FatherName>
        <LinkedCaseID>0</LinkedCaseID>
        <PartyID>1</PartyID>
        <CasePartyCategoryID>2</CasePartyCategoryID>
        <LegalEntityAddressID>89318610</LegalEntityAddressID>
        <PleaTypeID>5</PleaTypeID>
        <GroupPartyAlias>מבקשים</GroupPartyAlias>
        <IsConverted>false</IsConverted>
        <LegalEntityRegisteredNameID>10393693</LegalEntityRegisteredNameID>
        <LegalEntityNameID>96586914</LegalEntityNameID>
        <RepresentatedNamesOfAssistant/>
        <LegalEntityTypeID>1</LegalEntityTypeID>
        <IsVerdictExists>false</IsVerdictExists>
        <IsAsirAzir>false</IsAsirAzir>
        <IsPublicationProhibited>false</IsPublicationProhibited>
        <PublicationProhibitedFullName>אולגה משייב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דין עדני</FullName>
        <FirstName>דין</FirstName>
        <LastName>עדני</LastName>
        <PartyPropertyName/>
        <AuthenticationTypeAndNumber>מ.ר. 36025</AuthenticationTypeAndNumber>
        <RepresentatedOrRepresentativesNames>אולגה משייב</RepresentatedOrRepresentativesNames>
        <RepresentatedOrRepresentativesCount>1</RepresentatedOrRepresentativesCount>
        <InvitedBy/>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270936196</CasePartyID>
        <PartyTypeID>2</PartyTypeID>
        <ActivityStatusID>1</ActivityStatusID>
        <PartyAliasID>22</PartyAliasID>
        <PartyAliasName>בא כוח מבקשים</PartyAliasName>
        <OrdinalNumber>1</OrdinalNumber>
        <LegalEntityID>407595</LegalEntityID>
        <CaseLegalEntityID>129112575</CaseLegalEntityID>
        <AuthenticationTypeID>4</AuthenticationTypeID>
        <AuthenticationTypeName>מ.ר.</AuthenticationTypeName>
        <LegalEntityNumber>36025</LegalEntityNumber>
        <IsMainPartyType>true</IsMainPartyType>
        <CaseDisplayIdentifier>2882-06-24</CaseDisplayIdentifier>
        <CaseTypeID>10074</CaseTypeID>
        <CaseTypeName>רשות ערעור משפחה (רמ"ש)</CaseTypeName>
        <CaseName>משייב נ' משייב</CaseName>
        <FullAddress>מנחם בגין 37 תל אביב -יפו קומה 2</FullAddress>
        <EmailAddress>dindalit@gmail.com</EmailAddress>
        <MotionID>0</MotionID>
        <CasePleaID>0</CasePleaID>
        <FatherName xml:space="preserve">        </FatherName>
        <LinkedCaseID>0</LinkedCaseID>
        <PartyID>1</PartyID>
        <CasePartyCategoryID>2</CasePartyCategoryID>
        <LegalEntityAddressID>77861424</LegalEntityAddressID>
        <LegalEntityEmailAddressID>67830079</LegalEntityEmailAddressID>
        <PleaTypeID>5</PleaTypeID>
        <LawyerOfficeName>משרד עו"ד: דין עדני</LawyerOfficeName>
        <LawyerOfficeID>448239</LawyerOfficeID>
        <GroupPartyAlias/>
        <IsConverted>false</IsConverted>
        <LegalEntityNameID>28579</LegalEntityNameID>
        <RepresentatedNamesOfAssistant/>
        <LegalEntityTypeID>4</LegalEntityTypeID>
        <IsVerdictExists>false</IsVerdictExists>
        <IsAsirAzir>false</IsAsirAzir>
        <IsPublicationProhibited>false</IsPublicationProhibited>
        <PublicationProhibitedFullName>דין עדני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זבולון משייב</FullName>
        <FirstName>זבולון</FirstName>
        <LastName>משייב</LastName>
        <PartyPropertyName/>
        <AuthenticationTypeAndNumber>ת"ז 306754185</AuthenticationTypeAndNumber>
        <RepresentatedOrRepresentativesNames/>
        <RepresentatedOrRepresentativesCount>0</RepresentatedOrRepresentativesCount>
        <InvitedBy/>
        <CaseID>81278020</CaseID>
        <CaseJudicialPersonPresentationDS>
          <CaseJudicalPersonActive>
            <CaseID>81278020</CaseID>
            <JudicialPersonID>053515011@GOV.IL</JudicialPersonID>
            <JudicialPersonTypeID>1</JudicialPersonTypeID>
            <JudicialTypeID>1</JudicialTypeID>
            <IsChairman>false</IsChairman>
            <TreatmentStartDate>2024-06-04T11:12:30.203+03:00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270936195</CasePartyID>
        <PartyTypeID>1</PartyTypeID>
        <ActivityStatusID>1</ActivityStatusID>
        <PartyAliasID>4</PartyAliasID>
        <PartyAliasName>משיב</PartyAliasName>
        <OrdinalNumber>1</OrdinalNumber>
        <LegalEntityID>76010863</LegalEntityID>
        <CaseLegalEntityID>129112574</CaseLegalEntityID>
        <AuthenticationTypeID>1</AuthenticationTypeID>
        <AuthenticationTypeName>ת"ז</AuthenticationTypeName>
        <LegalEntityNumber>306754185</LegalEntityNumber>
        <IsMainPartyType>true</IsMainPartyType>
        <CaseDisplayIdentifier>2882-06-24</CaseDisplayIdentifier>
        <CaseTypeID>10074</CaseTypeID>
        <CaseTypeName>רשות ערעור משפחה (רמ"ש)</CaseTypeName>
        <CaseName>משייב נ' משייב</CaseName>
        <FullAddress>ברזויל 1 חולון </FullAddress>
        <MotionID>0</MotionID>
        <CasePleaID>0</CasePleaID>
        <BirthDate>1977-04-04T00:00:00+02:00</BirthDate>
        <FatherName>ארקדי</FatherName>
        <LinkedCaseID>0</LinkedCaseID>
        <PartyID>2</PartyID>
        <CasePartyCategoryID>2</CasePartyCategoryID>
        <LegalEntityAddressID>89318611</LegalEntityAddressID>
        <PleaTypeID>5</PleaTypeID>
        <GroupPartyAlias>משיבים</GroupPartyAlias>
        <IsConverted>false</IsConverted>
        <LegalEntityRegisteredNameID>5970853</LegalEntityRegisteredNameID>
        <LegalEntityNameID>96586915</LegalEntityNameID>
        <RepresentatedNamesOfAssistant/>
        <LegalEntityTypeID>1</LegalEntityTypeID>
        <IsVerdictExists>false</IsVerdictExists>
        <IsAsirAzir>false</IsAsirAzir>
        <IsPublicationProhibited>false</IsPublicationProhibited>
        <PublicationProhibitedFullName>זבולון משייב</PublicationProhibitedFullName>
      </CaseParties>
    </CasePartiesSelectionDS>
    <CaseName>משייב נ' משייב</CaseName>
    <CaseDisplayIdentifier>2882-06-24</CaseDisplayIdentifier>
    <CaseInterestID>10508</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PartyID>1</PartyID>
    <PartyTypeID>1</PartyTypeID>
    <DecisionID>0</DecisionID>
    <StreetName>קפלוסקי 14</StreetName>
    <CityName>חולון</CityName>
    <FullName>אולגה משייב</FullName>
    <IsPublicationProhibited>false</IsPublicationProhibited>
  </dt_LegalEntityDetails>
  <dt_LegalEntityDetails>
    <PartyID>2</PartyID>
    <PartyTypeID>1</PartyTypeID>
    <DecisionID>0</DecisionID>
    <StreetName>ברזויל 1</StreetName>
    <CityName>חולון</CityName>
    <FullName>זבולון משייב</FullName>
    <IsPublicationProhibited>false</IsPublicationProhibited>
  </dt_LegalEntityDetails>
  <dt_LegalEntityDetails>
    <Fax>03-5665776</Fax>
    <Phone>03-5665775</Phone>
    <AddressDesc>קומה 2</AddressDesc>
    <PartyID>1</PartyID>
    <PartyTypeID>2</PartyTypeID>
    <DecisionID>0</DecisionID>
    <StreetName>מנחם בגין 37</StreetName>
    <ZipCode>6522042</ZipCode>
    <CityName>תל אביב -יפו</CityName>
    <FullName>דין עדני</FullName>
    <Email>dindalit@gmail.com</Email>
    <IsPublicationProhibited>false</IsPublicationProhibited>
  </dt_LegalEntityDetails>
  <dt_CaseJudicalPersonActive>
    <CaseJudicalPerson>שופט, סגן הנשיא שאול שוחט</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AAB1-F160-4FE1-894F-E0764C90866D}">
  <ds:schemaRefs/>
</ds:datastoreItem>
</file>

<file path=customXml/itemProps2.xml><?xml version="1.0" encoding="utf-8"?>
<ds:datastoreItem xmlns:ds="http://schemas.openxmlformats.org/officeDocument/2006/customXml" ds:itemID="{559B6B8E-25E2-4B09-B034-836234748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1304</Words>
  <Characters>6524</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2024-06-27T07:36:00Z</dcterms:created>
  <dcterms:modified xsi:type="dcterms:W3CDTF">2024-06-27T07:36:00Z</dcterms:modified>
</cp:coreProperties>
</file>